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25 199 vom 30. Dezember 2025</w:t>
      </w:r>
    </w:p>
    <w:p>
      <w:r>
        <w:t>VS Kantonsgericht, 2025-12-30, FR</w:t>
      </w:r>
    </w:p>
    <w:p>
      <w:r>
        <w:rPr>
          <w:b/>
        </w:rPr>
        <w:t xml:space="preserve">Quelle: </w:t>
      </w:r>
      <w:r>
        <w:t>https://mcp.opencaselaw.ch/entscheid/vs_gerichte_A1 25 199</w:t>
      </w:r>
    </w:p>
    <w:p>
      <w:r>
        <w:t>FR: VS_GERICHTE A1 25 199 du 30 décembre 2025</w:t>
      </w:r>
    </w:p>
    <w:p>
      <w:r>
        <w:t>IT: VS_GERICHTE A1 25 199 del 30 dicembre 2025</w:t>
      </w:r>
    </w:p>
    <w:p>
      <w:pPr>
        <w:pStyle w:val="Heading2"/>
      </w:pPr>
      <w:r>
        <w:t>Erwägungen</w:t>
      </w:r>
    </w:p>
    <w:p>
      <w:r>
        <w:rPr>
          <w:b/>
        </w:rPr>
        <w:t>E. 10</w:t>
      </w:r>
    </w:p>
    <w:p>
      <w:r>
        <w:t>mai 1978 sur la responsabilité des collectivités publiques et de leurs agents ; v. p. ex. ACDP A1 25 7 précité p. 6) ; qu’en définitive et vu ce qui précède, il convient de constater que le recours pour déni de justice du 20 octobre 2025 n’a plus d’objet suite au prononcé de la décision du 5 novembre 2025, de sorte que la cause doit être rayée du rôle, sans frais ni dépens ; qu’à toute fins utiles, il est précisé que le bien-fondé de la décision rendue le 5 novembre 2025 par le Conseil d’Etat sera examiné dans le cadre de la cause A1 25 216 toujours pendante, à laquelle sera versé le dossier du Conseil d’Etat produit dans la présente procédure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